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44"/>
          <w:szCs w:val="44"/>
          <w:lang w:eastAsia="zh-CN"/>
        </w:rPr>
      </w:pP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方正小标宋简体" w:hAnsi="方正小标宋简体" w:eastAsia="方正小标宋简体" w:cs="方正小标宋简体"/>
          <w:b w:val="0"/>
          <w:bCs w:val="0"/>
          <w:spacing w:val="-20"/>
          <w:sz w:val="44"/>
          <w:szCs w:val="44"/>
        </w:rPr>
      </w:pPr>
      <w:r>
        <w:rPr>
          <w:rFonts w:hint="eastAsia" w:ascii="方正小标宋简体" w:hAnsi="方正小标宋简体" w:eastAsia="方正小标宋简体" w:cs="方正小标宋简体"/>
          <w:b w:val="0"/>
          <w:bCs w:val="0"/>
          <w:spacing w:val="-20"/>
          <w:sz w:val="44"/>
          <w:szCs w:val="44"/>
        </w:rPr>
        <w:t>关于沱浍河航道临涣船闸工程水土保持</w:t>
      </w: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方正小标宋简体" w:hAnsi="方正小标宋简体" w:eastAsia="方正小标宋简体" w:cs="方正小标宋简体"/>
          <w:b w:val="0"/>
          <w:bCs w:val="0"/>
          <w:spacing w:val="-20"/>
          <w:sz w:val="44"/>
          <w:szCs w:val="44"/>
        </w:rPr>
      </w:pPr>
      <w:r>
        <w:rPr>
          <w:rFonts w:hint="eastAsia" w:ascii="方正小标宋简体" w:hAnsi="方正小标宋简体" w:eastAsia="方正小标宋简体" w:cs="方正小标宋简体"/>
          <w:b w:val="0"/>
          <w:bCs w:val="0"/>
          <w:spacing w:val="-20"/>
          <w:sz w:val="44"/>
          <w:szCs w:val="44"/>
          <w:lang w:val="en-US" w:eastAsia="zh-CN"/>
        </w:rPr>
        <w:t>现场指导</w:t>
      </w:r>
      <w:r>
        <w:rPr>
          <w:rFonts w:hint="eastAsia" w:ascii="方正小标宋简体" w:hAnsi="方正小标宋简体" w:eastAsia="方正小标宋简体" w:cs="方正小标宋简体"/>
          <w:b w:val="0"/>
          <w:bCs w:val="0"/>
          <w:spacing w:val="-20"/>
          <w:sz w:val="44"/>
          <w:szCs w:val="44"/>
        </w:rPr>
        <w:t>的意见</w:t>
      </w:r>
    </w:p>
    <w:p>
      <w:pPr>
        <w:adjustRightInd w:val="0"/>
        <w:snapToGrid w:val="0"/>
        <w:spacing w:line="360" w:lineRule="auto"/>
        <w:rPr>
          <w:rFonts w:ascii="Times New Roman" w:hAnsi="Times New Roman" w:cs="Times New Roman"/>
          <w:sz w:val="28"/>
          <w:szCs w:val="28"/>
        </w:rPr>
      </w:pP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安徽省港航建设投资集团有限公司：</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为进一步强化生产建设项目水土保持事中事后监管，全面推进落实生产建设项目水土保持“三同时”制度，根据《中华人民共和国水土保持法》及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，2024年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日，我局委托技术服务单位对沱浍河航道临涣船闸工程开展了水土保持现场指导工作。指导组查看了工程建设现场，召开了座谈会，听取了建设单位水土保持工作情况汇报，形成指导工作意见如下：</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一、基本情况</w:t>
      </w:r>
    </w:p>
    <w:p>
      <w:pPr>
        <w:keepNext w:val="0"/>
        <w:keepLines w:val="0"/>
        <w:pageBreakBefore w:val="0"/>
        <w:kinsoku/>
        <w:overflowPunct/>
        <w:topLinePunct w:val="0"/>
        <w:autoSpaceDE/>
        <w:autoSpaceDN/>
        <w:bidi w:val="0"/>
        <w:spacing w:beforeLines="0" w:afterLines="0" w:line="600" w:lineRule="exact"/>
        <w:ind w:firstLine="640" w:firstLineChars="200"/>
        <w:jc w:val="left"/>
        <w:textAlignment w:val="auto"/>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rPr>
        <w:t>沱浍河航道临涣船闸工程位于淮北市濉溪县韩村境内，本项目位于浍河航道上，浍河航道规划等级为Ⅳ级，临涣船闸按Ⅳ级标准建设，设计最大船舶吨级为500t，临涣船闸工程船闸尺度为200×23×4（m），桥梁改建标准一孔跨过通航水域，设计单向年货运通过能力1308万t。</w:t>
      </w:r>
      <w:r>
        <w:rPr>
          <w:rFonts w:hint="eastAsia" w:ascii="仿宋_GB2312" w:hAnsi="仿宋_GB2312" w:eastAsia="仿宋_GB2312" w:cs="仿宋_GB2312"/>
          <w:bCs/>
          <w:sz w:val="32"/>
          <w:szCs w:val="32"/>
        </w:rPr>
        <w:t>工程于</w:t>
      </w:r>
      <w:r>
        <w:rPr>
          <w:rFonts w:hint="eastAsia" w:ascii="仿宋_GB2312" w:hAnsi="仿宋_GB2312" w:eastAsia="仿宋_GB2312" w:cs="仿宋_GB2312"/>
          <w:sz w:val="32"/>
          <w:szCs w:val="32"/>
        </w:rPr>
        <w:t>2020年7月开工建设，</w:t>
      </w:r>
      <w:r>
        <w:rPr>
          <w:rFonts w:hint="eastAsia" w:ascii="仿宋_GB2312" w:hAnsi="仿宋_GB2312" w:eastAsia="仿宋_GB2312" w:cs="仿宋_GB2312"/>
          <w:bCs/>
          <w:sz w:val="32"/>
          <w:szCs w:val="32"/>
        </w:rPr>
        <w:t>总投资7亿元，</w:t>
      </w:r>
      <w:r>
        <w:rPr>
          <w:rFonts w:hint="eastAsia" w:ascii="仿宋_GB2312" w:hAnsi="仿宋_GB2312" w:eastAsia="仿宋_GB2312" w:cs="仿宋_GB2312"/>
          <w:sz w:val="32"/>
          <w:szCs w:val="32"/>
        </w:rPr>
        <w:t>水土保持投资为1141.40万元。截至现场检查时，项目处于在建状态。</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局以“淮水许可〔2019〕27号”文</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r>
        <w:rPr>
          <w:rFonts w:hint="default" w:ascii="Times New Roman" w:hAnsi="Times New Roman" w:eastAsia="仿宋_GB2312" w:cs="Times New Roman"/>
          <w:sz w:val="32"/>
          <w:szCs w:val="32"/>
        </w:rPr>
        <w:t>。</w:t>
      </w:r>
    </w:p>
    <w:p>
      <w:pPr>
        <w:keepNext w:val="0"/>
        <w:keepLines w:val="0"/>
        <w:pageBreakBefore w:val="0"/>
        <w:widowControl/>
        <w:kinsoku/>
        <w:overflowPunct/>
        <w:topLinePunct w:val="0"/>
        <w:autoSpaceDE/>
        <w:autoSpaceDN/>
        <w:bidi w:val="0"/>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Times New Roman" w:hAnsi="Times New Roman" w:eastAsia="黑体" w:cs="Times New Roman"/>
          <w:sz w:val="32"/>
          <w:szCs w:val="32"/>
          <w:lang w:eastAsia="zh-CN"/>
        </w:rPr>
      </w:pPr>
      <w:r>
        <w:rPr>
          <w:rFonts w:hint="eastAsia" w:ascii="Times New Roman" w:hAnsi="黑体" w:eastAsia="黑体" w:cs="Times New Roman"/>
          <w:sz w:val="32"/>
          <w:szCs w:val="32"/>
          <w:lang w:eastAsia="zh-CN"/>
        </w:rPr>
        <w:t>二、下一步工作要求</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按照批复的水土保持方案和后续设计要求，及时实施水土保持工程、植物和临时措施，把“预防为主、保护优先”贯穿项目建设管理全过程。</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报送上一季度季报。</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做好该项目建设期间水土保持档案资料的收集、整理和分类建档工作，为项目后续水土保持自主验收提供支撑。</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按照《水利部关于加强事中事后监管规范生产建设项目水土保持设施自主验收的通知》(水保〔2017〕365号)要求，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投产运行或竣工验收前完成水土保持设施自主验收并向我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报备。</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联系人：营军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联系电话：3192083       15656999536</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邮箱：hbsbs2083@126.com</w:t>
      </w:r>
    </w:p>
    <w:p>
      <w:pPr>
        <w:pStyle w:val="5"/>
        <w:keepNext w:val="0"/>
        <w:keepLines w:val="0"/>
        <w:pageBreakBefore w:val="0"/>
        <w:kinsoku/>
        <w:overflowPunct/>
        <w:topLinePunct w:val="0"/>
        <w:autoSpaceDE/>
        <w:autoSpaceDN/>
        <w:bidi w:val="0"/>
        <w:spacing w:before="0" w:beforeAutospacing="0" w:after="0" w:afterAutospacing="0" w:line="600" w:lineRule="exact"/>
        <w:ind w:firstLine="640" w:firstLineChars="200"/>
        <w:textAlignment w:val="auto"/>
        <w:rPr>
          <w:rFonts w:hint="eastAsia" w:ascii="仿宋_GB2312" w:hAnsi="仿宋_GB2312" w:eastAsia="仿宋_GB2312" w:cs="仿宋_GB2312"/>
          <w:kern w:val="2"/>
          <w:sz w:val="32"/>
          <w:szCs w:val="32"/>
        </w:rPr>
      </w:pPr>
    </w:p>
    <w:p>
      <w:pPr>
        <w:pStyle w:val="5"/>
        <w:keepNext w:val="0"/>
        <w:keepLines w:val="0"/>
        <w:pageBreakBefore w:val="0"/>
        <w:kinsoku/>
        <w:overflowPunct/>
        <w:topLinePunct w:val="0"/>
        <w:autoSpaceDE/>
        <w:autoSpaceDN/>
        <w:bidi w:val="0"/>
        <w:spacing w:before="0" w:beforeAutospacing="0" w:after="0" w:afterAutospacing="0" w:line="600" w:lineRule="exact"/>
        <w:ind w:firstLine="640" w:firstLineChars="200"/>
        <w:textAlignment w:val="auto"/>
        <w:rPr>
          <w:rFonts w:hint="eastAsia" w:ascii="仿宋_GB2312" w:hAnsi="仿宋_GB2312" w:eastAsia="仿宋_GB2312" w:cs="仿宋_GB2312"/>
          <w:kern w:val="2"/>
          <w:sz w:val="32"/>
          <w:szCs w:val="32"/>
        </w:rPr>
      </w:pPr>
    </w:p>
    <w:p>
      <w:pPr>
        <w:pStyle w:val="5"/>
        <w:keepNext w:val="0"/>
        <w:keepLines w:val="0"/>
        <w:pageBreakBefore w:val="0"/>
        <w:kinsoku/>
        <w:overflowPunct/>
        <w:topLinePunct w:val="0"/>
        <w:autoSpaceDE/>
        <w:autoSpaceDN/>
        <w:bidi w:val="0"/>
        <w:spacing w:before="0" w:beforeAutospacing="0" w:after="0" w:afterAutospacing="0" w:line="600" w:lineRule="exact"/>
        <w:ind w:firstLine="640" w:firstLineChars="200"/>
        <w:textAlignment w:val="auto"/>
        <w:rPr>
          <w:rFonts w:hint="eastAsia" w:ascii="仿宋_GB2312" w:hAnsi="仿宋_GB2312" w:eastAsia="仿宋_GB2312" w:cs="仿宋_GB2312"/>
          <w:kern w:val="2"/>
          <w:sz w:val="32"/>
          <w:szCs w:val="32"/>
        </w:rPr>
      </w:pPr>
    </w:p>
    <w:p>
      <w:pPr>
        <w:keepNext w:val="0"/>
        <w:keepLines w:val="0"/>
        <w:pageBreakBefore w:val="0"/>
        <w:kinsoku/>
        <w:wordWrap w:val="0"/>
        <w:overflowPunct/>
        <w:topLinePunct w:val="0"/>
        <w:autoSpaceDE/>
        <w:autoSpaceDN/>
        <w:bidi w:val="0"/>
        <w:adjustRightInd w:val="0"/>
        <w:snapToGrid w:val="0"/>
        <w:spacing w:line="600" w:lineRule="exact"/>
        <w:ind w:firstLine="4800" w:firstLineChars="1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p>
    <w:p>
      <w:pPr>
        <w:keepNext w:val="0"/>
        <w:keepLines w:val="0"/>
        <w:pageBreakBefore w:val="0"/>
        <w:widowControl w:val="0"/>
        <w:kinsoku/>
        <w:wordWrap w:val="0"/>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u w:val="none"/>
          <w:lang w:eastAsia="zh-CN"/>
        </w:rPr>
      </w:pPr>
    </w:p>
    <w:p>
      <w:pPr>
        <w:keepNext w:val="0"/>
        <w:keepLines w:val="0"/>
        <w:pageBreakBefore w:val="0"/>
        <w:widowControl w:val="0"/>
        <w:kinsoku/>
        <w:wordWrap w:val="0"/>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u w:val="none"/>
          <w:lang w:eastAsia="zh-CN"/>
        </w:rPr>
      </w:pPr>
    </w:p>
    <w:p>
      <w:pPr>
        <w:keepNext w:val="0"/>
        <w:keepLines w:val="0"/>
        <w:pageBreakBefore w:val="0"/>
        <w:widowControl w:val="0"/>
        <w:kinsoku/>
        <w:wordWrap w:val="0"/>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u w:val="none"/>
          <w:lang w:eastAsia="zh-CN"/>
        </w:rPr>
      </w:pPr>
      <w:bookmarkStart w:id="0" w:name="_GoBack"/>
      <w:bookmarkEnd w:id="0"/>
    </w:p>
    <w:p>
      <w:pPr>
        <w:keepNext w:val="0"/>
        <w:keepLines w:val="0"/>
        <w:pageBreakBefore w:val="0"/>
        <w:kinsoku/>
        <w:wordWrap w:val="0"/>
        <w:overflowPunct/>
        <w:topLinePunct w:val="0"/>
        <w:autoSpaceDE/>
        <w:autoSpaceDN/>
        <w:bidi w:val="0"/>
        <w:adjustRightInd w:val="0"/>
        <w:snapToGrid w:val="0"/>
        <w:spacing w:line="600" w:lineRule="exact"/>
        <w:ind w:firstLine="5120" w:firstLineChars="1600"/>
        <w:textAlignment w:val="auto"/>
        <w:rPr>
          <w:rFonts w:hint="eastAsia" w:ascii="仿宋_GB2312" w:hAnsi="仿宋_GB2312" w:eastAsia="仿宋_GB2312" w:cs="仿宋_GB2312"/>
          <w:sz w:val="32"/>
          <w:szCs w:val="32"/>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AC07B8"/>
    <w:rsid w:val="00007837"/>
    <w:rsid w:val="00042D35"/>
    <w:rsid w:val="00056403"/>
    <w:rsid w:val="000B1EEA"/>
    <w:rsid w:val="000D1307"/>
    <w:rsid w:val="000E36AF"/>
    <w:rsid w:val="000F2908"/>
    <w:rsid w:val="001020C4"/>
    <w:rsid w:val="001042F8"/>
    <w:rsid w:val="00106B19"/>
    <w:rsid w:val="00192BCA"/>
    <w:rsid w:val="001B2686"/>
    <w:rsid w:val="001B3963"/>
    <w:rsid w:val="001C0BAC"/>
    <w:rsid w:val="00206D35"/>
    <w:rsid w:val="00220EE9"/>
    <w:rsid w:val="00223208"/>
    <w:rsid w:val="00235801"/>
    <w:rsid w:val="002C0F4A"/>
    <w:rsid w:val="002D3C18"/>
    <w:rsid w:val="0030088C"/>
    <w:rsid w:val="003333ED"/>
    <w:rsid w:val="00356914"/>
    <w:rsid w:val="00370D51"/>
    <w:rsid w:val="00387677"/>
    <w:rsid w:val="003877DE"/>
    <w:rsid w:val="00391F6D"/>
    <w:rsid w:val="003A2C8A"/>
    <w:rsid w:val="004250A6"/>
    <w:rsid w:val="004350B9"/>
    <w:rsid w:val="00440E1C"/>
    <w:rsid w:val="00487AFA"/>
    <w:rsid w:val="00491252"/>
    <w:rsid w:val="004C25D3"/>
    <w:rsid w:val="0053469E"/>
    <w:rsid w:val="00552844"/>
    <w:rsid w:val="00562FAA"/>
    <w:rsid w:val="00567EA7"/>
    <w:rsid w:val="005C1FD9"/>
    <w:rsid w:val="005D7B80"/>
    <w:rsid w:val="005F2111"/>
    <w:rsid w:val="00650EB1"/>
    <w:rsid w:val="00665BF6"/>
    <w:rsid w:val="00667BFB"/>
    <w:rsid w:val="00761DB6"/>
    <w:rsid w:val="00764723"/>
    <w:rsid w:val="007B2252"/>
    <w:rsid w:val="007C1263"/>
    <w:rsid w:val="007C791E"/>
    <w:rsid w:val="0080083F"/>
    <w:rsid w:val="00815DE4"/>
    <w:rsid w:val="008369EB"/>
    <w:rsid w:val="00854200"/>
    <w:rsid w:val="0087106A"/>
    <w:rsid w:val="008A5C50"/>
    <w:rsid w:val="008B2729"/>
    <w:rsid w:val="008B2ECD"/>
    <w:rsid w:val="008C3281"/>
    <w:rsid w:val="008D764F"/>
    <w:rsid w:val="009065E4"/>
    <w:rsid w:val="0094461B"/>
    <w:rsid w:val="00957ACB"/>
    <w:rsid w:val="009908EE"/>
    <w:rsid w:val="009D194E"/>
    <w:rsid w:val="009F5B8D"/>
    <w:rsid w:val="00A133DF"/>
    <w:rsid w:val="00A66853"/>
    <w:rsid w:val="00AB6929"/>
    <w:rsid w:val="00AC07B8"/>
    <w:rsid w:val="00AD6F58"/>
    <w:rsid w:val="00B255CA"/>
    <w:rsid w:val="00B45E6A"/>
    <w:rsid w:val="00B76D9C"/>
    <w:rsid w:val="00B84493"/>
    <w:rsid w:val="00B8478E"/>
    <w:rsid w:val="00B90ECE"/>
    <w:rsid w:val="00BD1518"/>
    <w:rsid w:val="00C03D24"/>
    <w:rsid w:val="00C22150"/>
    <w:rsid w:val="00C55E93"/>
    <w:rsid w:val="00C64008"/>
    <w:rsid w:val="00C82CC4"/>
    <w:rsid w:val="00C91A3D"/>
    <w:rsid w:val="00C91C98"/>
    <w:rsid w:val="00C958B8"/>
    <w:rsid w:val="00CC0FD5"/>
    <w:rsid w:val="00CC13DF"/>
    <w:rsid w:val="00D353A2"/>
    <w:rsid w:val="00D40875"/>
    <w:rsid w:val="00D65B21"/>
    <w:rsid w:val="00DC74DF"/>
    <w:rsid w:val="00DD6129"/>
    <w:rsid w:val="00DE620E"/>
    <w:rsid w:val="00DE769B"/>
    <w:rsid w:val="00E14E63"/>
    <w:rsid w:val="00E272F2"/>
    <w:rsid w:val="00E64926"/>
    <w:rsid w:val="00E77C19"/>
    <w:rsid w:val="00E93DA5"/>
    <w:rsid w:val="00E941D3"/>
    <w:rsid w:val="00ED26BE"/>
    <w:rsid w:val="00F00E78"/>
    <w:rsid w:val="00F07AC2"/>
    <w:rsid w:val="00F153F7"/>
    <w:rsid w:val="00F2285C"/>
    <w:rsid w:val="00F6060D"/>
    <w:rsid w:val="00F70698"/>
    <w:rsid w:val="00F72EC8"/>
    <w:rsid w:val="00F75BD3"/>
    <w:rsid w:val="00FC328C"/>
    <w:rsid w:val="00FC4D83"/>
    <w:rsid w:val="00FF08A0"/>
    <w:rsid w:val="018362EB"/>
    <w:rsid w:val="04CE5A1B"/>
    <w:rsid w:val="0B5B0786"/>
    <w:rsid w:val="0C016302"/>
    <w:rsid w:val="0DA968B7"/>
    <w:rsid w:val="106D51CC"/>
    <w:rsid w:val="111C69D5"/>
    <w:rsid w:val="12D53D0F"/>
    <w:rsid w:val="15AD49DB"/>
    <w:rsid w:val="16983E87"/>
    <w:rsid w:val="182577EE"/>
    <w:rsid w:val="189C2207"/>
    <w:rsid w:val="1C317E0E"/>
    <w:rsid w:val="1E135E67"/>
    <w:rsid w:val="1FAD43DB"/>
    <w:rsid w:val="20C119D8"/>
    <w:rsid w:val="23C16AD3"/>
    <w:rsid w:val="23EA286B"/>
    <w:rsid w:val="27D43471"/>
    <w:rsid w:val="2FB8269C"/>
    <w:rsid w:val="2FEE0FE3"/>
    <w:rsid w:val="305D3D1F"/>
    <w:rsid w:val="31F650F2"/>
    <w:rsid w:val="32CD46D7"/>
    <w:rsid w:val="32E000DD"/>
    <w:rsid w:val="33B9018F"/>
    <w:rsid w:val="383323DC"/>
    <w:rsid w:val="3A6A7521"/>
    <w:rsid w:val="3B912B31"/>
    <w:rsid w:val="3DDC7A09"/>
    <w:rsid w:val="3ECB69D0"/>
    <w:rsid w:val="3FEF3F7D"/>
    <w:rsid w:val="419B53ED"/>
    <w:rsid w:val="42E81D06"/>
    <w:rsid w:val="4AAB78B9"/>
    <w:rsid w:val="4B583D64"/>
    <w:rsid w:val="4F0923DD"/>
    <w:rsid w:val="4F4A05C2"/>
    <w:rsid w:val="553709D4"/>
    <w:rsid w:val="5691637D"/>
    <w:rsid w:val="569D1E2F"/>
    <w:rsid w:val="57C364B2"/>
    <w:rsid w:val="58407BB5"/>
    <w:rsid w:val="587770C2"/>
    <w:rsid w:val="58EF5E5C"/>
    <w:rsid w:val="5C176CD7"/>
    <w:rsid w:val="5EAA458C"/>
    <w:rsid w:val="635E0838"/>
    <w:rsid w:val="683300CC"/>
    <w:rsid w:val="69270B12"/>
    <w:rsid w:val="6A694061"/>
    <w:rsid w:val="6C2228DB"/>
    <w:rsid w:val="71245771"/>
    <w:rsid w:val="74153609"/>
    <w:rsid w:val="76B94D3D"/>
    <w:rsid w:val="7C987D65"/>
    <w:rsid w:val="7CA22B51"/>
    <w:rsid w:val="7CF45911"/>
    <w:rsid w:val="7E251C79"/>
    <w:rsid w:val="7E6171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2"/>
    <w:semiHidden/>
    <w:unhideWhenUsed/>
    <w:qFormat/>
    <w:uiPriority w:val="99"/>
    <w:rPr>
      <w:rFonts w:ascii="宋体" w:eastAsia="宋体"/>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9">
    <w:name w:val="页眉 Char"/>
    <w:basedOn w:val="8"/>
    <w:link w:val="4"/>
    <w:semiHidden/>
    <w:qFormat/>
    <w:uiPriority w:val="99"/>
    <w:rPr>
      <w:sz w:val="18"/>
      <w:szCs w:val="18"/>
    </w:rPr>
  </w:style>
  <w:style w:type="character" w:customStyle="1" w:styleId="10">
    <w:name w:val="页脚 Char"/>
    <w:basedOn w:val="8"/>
    <w:link w:val="3"/>
    <w:semiHidden/>
    <w:qFormat/>
    <w:uiPriority w:val="99"/>
    <w:rPr>
      <w:sz w:val="18"/>
      <w:szCs w:val="18"/>
    </w:rPr>
  </w:style>
  <w:style w:type="character" w:customStyle="1" w:styleId="11">
    <w:name w:val="标题 Char"/>
    <w:basedOn w:val="8"/>
    <w:link w:val="6"/>
    <w:qFormat/>
    <w:uiPriority w:val="10"/>
    <w:rPr>
      <w:rFonts w:eastAsia="宋体" w:asciiTheme="majorHAnsi" w:hAnsiTheme="majorHAnsi" w:cstheme="majorBidi"/>
      <w:b/>
      <w:bCs/>
      <w:sz w:val="32"/>
      <w:szCs w:val="32"/>
    </w:rPr>
  </w:style>
  <w:style w:type="character" w:customStyle="1" w:styleId="12">
    <w:name w:val="文档结构图 Char"/>
    <w:basedOn w:val="8"/>
    <w:link w:val="2"/>
    <w:semiHidden/>
    <w:qFormat/>
    <w:uiPriority w:val="99"/>
    <w:rPr>
      <w:rFonts w:ascii="宋体" w:eastAsia="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1082</Words>
  <Characters>1150</Characters>
  <Lines>5</Lines>
  <Paragraphs>1</Paragraphs>
  <TotalTime>2</TotalTime>
  <ScaleCrop>false</ScaleCrop>
  <LinksUpToDate>false</LinksUpToDate>
  <CharactersWithSpaces>1151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2024-06-17T01:43:18Z</cp:lastPrinted>
  <dcterms:modified xsi:type="dcterms:W3CDTF">2024-06-17T01:43:24Z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BA2F3D48661148FAA4B2D3350B4593F3</vt:lpwstr>
  </property>
</Properties>
</file>